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00" w:lineRule="exact"/>
        <w:ind w:firstLine="0"/>
        <w:jc w:val="center"/>
      </w:pPr>
      <w:bookmarkStart w:id="0" w:name="_GoBack"/>
      <w:bookmarkEnd w:id="0"/>
      <w:r>
        <w:rPr>
          <w:rFonts w:ascii="FZXiaoBiaoSong-B05S" w:hAnsi="FZXiaoBiaoSong-B05S" w:eastAsia="FZXiaoBiaoSong-B05S" w:cs="FZXiaoBiaoSong-B05S"/>
          <w:b/>
          <w:color w:val="000000"/>
          <w:sz w:val="48"/>
        </w:rPr>
        <w:t>天津市西青区中北镇中心幼儿园</w:t>
      </w:r>
      <w:r>
        <w:rPr>
          <w:rFonts w:ascii="FZXiaoBiaoSong-B05S" w:hAnsi="FZXiaoBiaoSong-B05S" w:eastAsia="FZXiaoBiaoSong-B05S" w:cs="FZXiaoBiaoSong-B05S"/>
          <w:b/>
          <w:color w:val="000000"/>
          <w:sz w:val="48"/>
        </w:rPr>
        <w:br w:type="textWrapping"/>
      </w:r>
      <w:r>
        <w:rPr>
          <w:rFonts w:ascii="FZXiaoBiaoSong-B05S" w:hAnsi="FZXiaoBiaoSong-B05S" w:eastAsia="FZXiaoBiaoSong-B05S" w:cs="FZXiaoBiaoSong-B05S"/>
          <w:b/>
          <w:color w:val="000000"/>
          <w:sz w:val="48"/>
        </w:rPr>
        <w:t>2025年度单位预算公开</w:t>
      </w:r>
    </w:p>
    <w:p>
      <w:pPr>
        <w:pageBreakBefore/>
        <w:spacing w:line="560" w:lineRule="exact"/>
        <w:ind w:firstLine="0"/>
        <w:jc w:val="center"/>
      </w:pPr>
      <w:r>
        <w:rPr>
          <w:rFonts w:ascii="黑体" w:hAnsi="黑体" w:eastAsia="黑体" w:cs="黑体"/>
          <w:b/>
          <w:color w:val="000000"/>
          <w:sz w:val="44"/>
        </w:rPr>
        <w:t>目    录</w:t>
      </w:r>
    </w:p>
    <w:p>
      <w:pPr>
        <w:spacing w:line="560" w:lineRule="exact"/>
        <w:ind w:firstLine="900"/>
        <w:jc w:val="both"/>
      </w:pPr>
      <w:r>
        <w:rPr>
          <w:rFonts w:ascii="仿宋" w:hAnsi="仿宋" w:eastAsia="仿宋" w:cs="仿宋"/>
          <w:b/>
          <w:color w:val="000000"/>
          <w:sz w:val="30"/>
        </w:rPr>
        <w:t>第一部分  概况</w:t>
      </w:r>
    </w:p>
    <w:p>
      <w:pPr>
        <w:spacing w:line="560" w:lineRule="exact"/>
        <w:ind w:firstLine="900"/>
        <w:jc w:val="both"/>
      </w:pPr>
      <w:r>
        <w:rPr>
          <w:rFonts w:ascii="仿宋" w:hAnsi="仿宋" w:eastAsia="仿宋" w:cs="仿宋"/>
          <w:b w:val="0"/>
          <w:color w:val="000000"/>
          <w:sz w:val="30"/>
        </w:rPr>
        <w:t>一、主要职责</w:t>
      </w:r>
    </w:p>
    <w:p>
      <w:pPr>
        <w:spacing w:line="560" w:lineRule="exact"/>
        <w:ind w:firstLine="900"/>
        <w:jc w:val="both"/>
      </w:pPr>
      <w:r>
        <w:rPr>
          <w:rFonts w:ascii="仿宋" w:hAnsi="仿宋" w:eastAsia="仿宋" w:cs="仿宋"/>
          <w:b w:val="0"/>
          <w:color w:val="000000"/>
          <w:sz w:val="30"/>
        </w:rPr>
        <w:t>二、机构设置情况</w:t>
      </w:r>
    </w:p>
    <w:p>
      <w:pPr>
        <w:spacing w:line="560" w:lineRule="exact"/>
        <w:ind w:firstLine="900"/>
        <w:jc w:val="both"/>
      </w:pPr>
      <w:r>
        <w:rPr>
          <w:rFonts w:ascii="仿宋" w:hAnsi="仿宋" w:eastAsia="仿宋" w:cs="仿宋"/>
          <w:b/>
          <w:color w:val="000000"/>
          <w:sz w:val="30"/>
        </w:rPr>
        <w:t>第二部分  2025年单位情况说明</w:t>
      </w:r>
    </w:p>
    <w:p>
      <w:pPr>
        <w:spacing w:line="560" w:lineRule="exact"/>
        <w:ind w:firstLine="900"/>
        <w:jc w:val="both"/>
      </w:pPr>
      <w:r>
        <w:rPr>
          <w:rFonts w:ascii="仿宋" w:hAnsi="仿宋" w:eastAsia="仿宋" w:cs="仿宋"/>
          <w:b w:val="0"/>
          <w:color w:val="000000"/>
          <w:sz w:val="30"/>
        </w:rPr>
        <w:t>一、关于收支总体情况表的说明</w:t>
      </w:r>
    </w:p>
    <w:p>
      <w:pPr>
        <w:spacing w:line="560" w:lineRule="exact"/>
        <w:ind w:firstLine="900"/>
        <w:jc w:val="both"/>
      </w:pPr>
      <w:r>
        <w:rPr>
          <w:rFonts w:ascii="仿宋" w:hAnsi="仿宋" w:eastAsia="仿宋" w:cs="仿宋"/>
          <w:b w:val="0"/>
          <w:color w:val="000000"/>
          <w:sz w:val="30"/>
        </w:rPr>
        <w:t>二、关于收入总体情况表的说明</w:t>
      </w:r>
    </w:p>
    <w:p>
      <w:pPr>
        <w:spacing w:line="560" w:lineRule="exact"/>
        <w:ind w:firstLine="900"/>
        <w:jc w:val="both"/>
      </w:pPr>
      <w:r>
        <w:rPr>
          <w:rFonts w:ascii="仿宋" w:hAnsi="仿宋" w:eastAsia="仿宋" w:cs="仿宋"/>
          <w:b w:val="0"/>
          <w:color w:val="000000"/>
          <w:sz w:val="30"/>
        </w:rPr>
        <w:t>三、关于支出总体情况表的说明</w:t>
      </w:r>
    </w:p>
    <w:p>
      <w:pPr>
        <w:spacing w:line="560" w:lineRule="exact"/>
        <w:ind w:firstLine="900"/>
        <w:jc w:val="both"/>
      </w:pPr>
      <w:r>
        <w:rPr>
          <w:rFonts w:ascii="仿宋" w:hAnsi="仿宋" w:eastAsia="仿宋" w:cs="仿宋"/>
          <w:b w:val="0"/>
          <w:color w:val="000000"/>
          <w:sz w:val="30"/>
        </w:rPr>
        <w:t>四、关于财政拨款收支总体情况表的说明</w:t>
      </w:r>
    </w:p>
    <w:p>
      <w:pPr>
        <w:spacing w:line="560" w:lineRule="exact"/>
        <w:ind w:firstLine="900"/>
        <w:jc w:val="both"/>
      </w:pPr>
      <w:r>
        <w:rPr>
          <w:rFonts w:ascii="仿宋" w:hAnsi="仿宋" w:eastAsia="仿宋" w:cs="仿宋"/>
          <w:b w:val="0"/>
          <w:color w:val="000000"/>
          <w:sz w:val="30"/>
        </w:rPr>
        <w:t>五、关于一般公共预算支出情况表的说明</w:t>
      </w:r>
    </w:p>
    <w:p>
      <w:pPr>
        <w:spacing w:line="560" w:lineRule="exact"/>
        <w:ind w:firstLine="900"/>
        <w:jc w:val="both"/>
      </w:pPr>
      <w:r>
        <w:rPr>
          <w:rFonts w:ascii="仿宋" w:hAnsi="仿宋" w:eastAsia="仿宋" w:cs="仿宋"/>
          <w:b w:val="0"/>
          <w:color w:val="000000"/>
          <w:sz w:val="30"/>
        </w:rPr>
        <w:t>六、关于一般公共预算基本支出情况表的说明</w:t>
      </w:r>
    </w:p>
    <w:p>
      <w:pPr>
        <w:spacing w:line="560" w:lineRule="exact"/>
        <w:ind w:firstLine="900"/>
        <w:jc w:val="both"/>
      </w:pPr>
      <w:r>
        <w:rPr>
          <w:rFonts w:ascii="仿宋" w:hAnsi="仿宋" w:eastAsia="仿宋" w:cs="仿宋"/>
          <w:b w:val="0"/>
          <w:color w:val="000000"/>
          <w:sz w:val="30"/>
        </w:rPr>
        <w:t>七、关于一般公共预算“三公”经费支出情况表的说明</w:t>
      </w:r>
    </w:p>
    <w:p>
      <w:pPr>
        <w:spacing w:line="560" w:lineRule="exact"/>
        <w:ind w:firstLine="900"/>
        <w:jc w:val="both"/>
      </w:pPr>
      <w:r>
        <w:rPr>
          <w:rFonts w:ascii="仿宋" w:hAnsi="仿宋" w:eastAsia="仿宋" w:cs="仿宋"/>
          <w:b w:val="0"/>
          <w:color w:val="000000"/>
          <w:sz w:val="30"/>
        </w:rPr>
        <w:t>八、关于政府性基金预算支出情况表的说明</w:t>
      </w:r>
    </w:p>
    <w:p>
      <w:pPr>
        <w:spacing w:line="560" w:lineRule="exact"/>
        <w:ind w:firstLine="900"/>
        <w:jc w:val="both"/>
      </w:pPr>
      <w:r>
        <w:rPr>
          <w:rFonts w:ascii="仿宋" w:hAnsi="仿宋" w:eastAsia="仿宋" w:cs="仿宋"/>
          <w:b w:val="0"/>
          <w:color w:val="000000"/>
          <w:sz w:val="30"/>
        </w:rPr>
        <w:t>九、关于国有资本经营预算支出情况表的说明</w:t>
      </w:r>
    </w:p>
    <w:p>
      <w:pPr>
        <w:spacing w:line="560" w:lineRule="exact"/>
        <w:ind w:firstLine="900"/>
        <w:jc w:val="both"/>
      </w:pPr>
      <w:r>
        <w:rPr>
          <w:rFonts w:ascii="仿宋" w:hAnsi="仿宋" w:eastAsia="仿宋" w:cs="仿宋"/>
          <w:b w:val="0"/>
          <w:color w:val="000000"/>
          <w:sz w:val="30"/>
        </w:rPr>
        <w:t>十、其他重要事项的情况说明</w:t>
      </w:r>
    </w:p>
    <w:p>
      <w:pPr>
        <w:spacing w:line="560" w:lineRule="exact"/>
        <w:ind w:firstLine="900"/>
        <w:jc w:val="both"/>
      </w:pPr>
      <w:r>
        <w:rPr>
          <w:rFonts w:ascii="仿宋" w:hAnsi="仿宋" w:eastAsia="仿宋" w:cs="仿宋"/>
          <w:b/>
          <w:color w:val="000000"/>
          <w:sz w:val="30"/>
        </w:rPr>
        <w:t>第三部分  名词解释</w:t>
      </w:r>
    </w:p>
    <w:p>
      <w:pPr>
        <w:spacing w:line="560" w:lineRule="exact"/>
        <w:ind w:firstLine="900"/>
        <w:jc w:val="both"/>
      </w:pPr>
      <w:r>
        <w:rPr>
          <w:rFonts w:ascii="仿宋" w:hAnsi="仿宋" w:eastAsia="仿宋" w:cs="仿宋"/>
          <w:b/>
          <w:color w:val="000000"/>
          <w:sz w:val="30"/>
        </w:rPr>
        <w:t>第四部分  2025年单位预算表</w:t>
      </w:r>
    </w:p>
    <w:p>
      <w:pPr>
        <w:spacing w:line="560" w:lineRule="exact"/>
        <w:ind w:firstLine="900"/>
        <w:jc w:val="both"/>
      </w:pPr>
      <w:r>
        <w:rPr>
          <w:rFonts w:ascii="仿宋" w:hAnsi="仿宋" w:eastAsia="仿宋" w:cs="仿宋"/>
          <w:b w:val="0"/>
          <w:color w:val="000000"/>
          <w:sz w:val="30"/>
        </w:rPr>
        <w:t>一、部门收支总体情况表</w:t>
      </w:r>
    </w:p>
    <w:p>
      <w:pPr>
        <w:spacing w:line="560" w:lineRule="exact"/>
        <w:ind w:firstLine="900"/>
        <w:jc w:val="both"/>
      </w:pPr>
      <w:r>
        <w:rPr>
          <w:rFonts w:ascii="仿宋" w:hAnsi="仿宋" w:eastAsia="仿宋" w:cs="仿宋"/>
          <w:b w:val="0"/>
          <w:color w:val="000000"/>
          <w:sz w:val="30"/>
        </w:rPr>
        <w:t>二、部门收入总体情况表</w:t>
      </w:r>
    </w:p>
    <w:p>
      <w:pPr>
        <w:spacing w:line="560" w:lineRule="exact"/>
        <w:ind w:firstLine="900"/>
        <w:jc w:val="both"/>
      </w:pPr>
      <w:r>
        <w:rPr>
          <w:rFonts w:ascii="仿宋" w:hAnsi="仿宋" w:eastAsia="仿宋" w:cs="仿宋"/>
          <w:b w:val="0"/>
          <w:color w:val="000000"/>
          <w:sz w:val="30"/>
        </w:rPr>
        <w:t>三、部门支出总体情况表</w:t>
      </w:r>
    </w:p>
    <w:p>
      <w:pPr>
        <w:spacing w:line="560" w:lineRule="exact"/>
        <w:ind w:firstLine="900"/>
        <w:jc w:val="both"/>
      </w:pPr>
      <w:r>
        <w:rPr>
          <w:rFonts w:ascii="仿宋" w:hAnsi="仿宋" w:eastAsia="仿宋" w:cs="仿宋"/>
          <w:b w:val="0"/>
          <w:color w:val="000000"/>
          <w:sz w:val="30"/>
        </w:rPr>
        <w:t>四、财政拨款收支总体情况表</w:t>
      </w:r>
    </w:p>
    <w:p>
      <w:pPr>
        <w:spacing w:line="560" w:lineRule="exact"/>
        <w:ind w:firstLine="900"/>
        <w:jc w:val="both"/>
      </w:pPr>
      <w:r>
        <w:rPr>
          <w:rFonts w:ascii="仿宋" w:hAnsi="仿宋" w:eastAsia="仿宋" w:cs="仿宋"/>
          <w:b w:val="0"/>
          <w:color w:val="000000"/>
          <w:sz w:val="30"/>
        </w:rPr>
        <w:t>五、一般公共预算支出情况表</w:t>
      </w:r>
    </w:p>
    <w:p>
      <w:pPr>
        <w:spacing w:line="560" w:lineRule="exact"/>
        <w:ind w:firstLine="900"/>
        <w:jc w:val="both"/>
      </w:pPr>
      <w:r>
        <w:rPr>
          <w:rFonts w:ascii="仿宋" w:hAnsi="仿宋" w:eastAsia="仿宋" w:cs="仿宋"/>
          <w:b w:val="0"/>
          <w:color w:val="000000"/>
          <w:sz w:val="30"/>
        </w:rPr>
        <w:t>六、一般公共预算基本支出情况表</w:t>
      </w:r>
    </w:p>
    <w:p>
      <w:pPr>
        <w:spacing w:line="560" w:lineRule="exact"/>
        <w:ind w:firstLine="900"/>
        <w:jc w:val="both"/>
      </w:pPr>
      <w:r>
        <w:rPr>
          <w:rFonts w:ascii="仿宋" w:hAnsi="仿宋" w:eastAsia="仿宋" w:cs="仿宋"/>
          <w:b w:val="0"/>
          <w:color w:val="000000"/>
          <w:sz w:val="30"/>
        </w:rPr>
        <w:t>七、一般公共预算“三公”经费支出情况表</w:t>
      </w:r>
    </w:p>
    <w:p>
      <w:pPr>
        <w:spacing w:line="560" w:lineRule="exact"/>
        <w:ind w:firstLine="900"/>
        <w:jc w:val="both"/>
      </w:pPr>
      <w:r>
        <w:rPr>
          <w:rFonts w:ascii="仿宋" w:hAnsi="仿宋" w:eastAsia="仿宋" w:cs="仿宋"/>
          <w:b w:val="0"/>
          <w:color w:val="000000"/>
          <w:sz w:val="30"/>
        </w:rPr>
        <w:t>八、政府性基金预算支出情况表</w:t>
      </w:r>
    </w:p>
    <w:p>
      <w:pPr>
        <w:spacing w:line="560" w:lineRule="exact"/>
        <w:ind w:firstLine="900"/>
        <w:jc w:val="both"/>
      </w:pPr>
      <w:r>
        <w:rPr>
          <w:rFonts w:ascii="仿宋" w:hAnsi="仿宋" w:eastAsia="仿宋" w:cs="仿宋"/>
          <w:b w:val="0"/>
          <w:color w:val="000000"/>
          <w:sz w:val="30"/>
        </w:rPr>
        <w:t>九、国有资本经营预算支出情况表</w:t>
      </w:r>
    </w:p>
    <w:p>
      <w:pPr>
        <w:spacing w:line="560" w:lineRule="exact"/>
        <w:ind w:firstLine="900"/>
        <w:jc w:val="both"/>
      </w:pPr>
      <w:r>
        <w:rPr>
          <w:rFonts w:ascii="仿宋" w:hAnsi="仿宋" w:eastAsia="仿宋" w:cs="仿宋"/>
          <w:b w:val="0"/>
          <w:color w:val="000000"/>
          <w:sz w:val="30"/>
        </w:rPr>
        <w:t>十、项目支出表</w:t>
      </w:r>
    </w:p>
    <w:p>
      <w:pPr>
        <w:spacing w:line="560" w:lineRule="exact"/>
        <w:ind w:firstLine="900"/>
        <w:jc w:val="both"/>
      </w:pPr>
      <w:r>
        <w:rPr>
          <w:rFonts w:ascii="仿宋" w:hAnsi="仿宋" w:eastAsia="仿宋" w:cs="仿宋"/>
          <w:b w:val="0"/>
          <w:color w:val="000000"/>
          <w:sz w:val="30"/>
        </w:rPr>
        <w:t>十一、关于空表的说明</w:t>
      </w:r>
    </w:p>
    <w:p>
      <w:pPr>
        <w:pageBreakBefore/>
        <w:spacing w:line="560" w:lineRule="exact"/>
        <w:ind w:firstLine="0"/>
        <w:jc w:val="center"/>
      </w:pPr>
      <w:r>
        <w:rPr>
          <w:rFonts w:ascii="FZXiaoBiaoSong-B05S" w:hAnsi="FZXiaoBiaoSong-B05S" w:eastAsia="FZXiaoBiaoSong-B05S" w:cs="FZXiaoBiaoSong-B05S"/>
          <w:b/>
          <w:color w:val="000000"/>
          <w:sz w:val="48"/>
        </w:rPr>
        <w:t>第一部分 概况</w:t>
      </w:r>
    </w:p>
    <w:p>
      <w:pPr>
        <w:spacing w:line="560" w:lineRule="exact"/>
        <w:ind w:firstLine="600"/>
        <w:jc w:val="both"/>
      </w:pPr>
      <w:r>
        <w:rPr>
          <w:rFonts w:ascii="黑体" w:hAnsi="黑体" w:eastAsia="黑体" w:cs="黑体"/>
          <w:b/>
          <w:color w:val="353232"/>
          <w:sz w:val="30"/>
        </w:rPr>
        <w:t>一、主要职责</w:t>
      </w:r>
    </w:p>
    <w:p>
      <w:pPr>
        <w:spacing w:line="560" w:lineRule="exact"/>
        <w:ind w:firstLine="600"/>
        <w:jc w:val="both"/>
      </w:pPr>
      <w:r>
        <w:rPr>
          <w:rFonts w:ascii="仿宋" w:hAnsi="仿宋" w:eastAsia="仿宋" w:cs="仿宋"/>
          <w:b w:val="0"/>
          <w:color w:val="000000"/>
          <w:sz w:val="30"/>
        </w:rPr>
        <w:t>天津市西青区中北镇中心幼儿园，始建于2017年12月28日，由中北镇政府投资建成。该园占地面积达9457.1平方米，设施先进，设备齐全，环境优美，是一所优质的公办幼儿园。</w:t>
      </w:r>
      <w:r>
        <w:rPr>
          <w:rFonts w:ascii="仿宋" w:hAnsi="仿宋" w:eastAsia="仿宋" w:cs="仿宋"/>
          <w:b w:val="0"/>
          <w:color w:val="000000"/>
          <w:sz w:val="30"/>
        </w:rPr>
        <w:br w:type="textWrapping"/>
      </w:r>
      <w:r>
        <w:rPr>
          <w:rFonts w:ascii="仿宋" w:hAnsi="仿宋" w:eastAsia="仿宋" w:cs="仿宋"/>
          <w:b w:val="0"/>
          <w:color w:val="000000"/>
          <w:sz w:val="30"/>
        </w:rPr>
        <w:t>我们坚持走“提高保教质量，打造中心园特色品牌”之路，整体规划，从创设绿色生态环境入手，以特色游戏活动为载体，落实“幼有所育，育有所长”的育人目标，更好实现“让每一个孩子都能享受成长的快乐”的办园宗旨!</w:t>
      </w:r>
      <w:r>
        <w:rPr>
          <w:rFonts w:ascii="仿宋" w:hAnsi="仿宋" w:eastAsia="仿宋" w:cs="仿宋"/>
          <w:b w:val="0"/>
          <w:color w:val="000000"/>
          <w:sz w:val="30"/>
        </w:rPr>
        <w:br w:type="textWrapping"/>
      </w:r>
      <w:r>
        <w:rPr>
          <w:rFonts w:ascii="仿宋" w:hAnsi="仿宋" w:eastAsia="仿宋" w:cs="仿宋"/>
          <w:b w:val="0"/>
          <w:color w:val="000000"/>
          <w:sz w:val="30"/>
        </w:rPr>
        <w:t>“求发展，保质量”是办园的根本任务。“育人品，促成长”是学前教育总目标。我们肩负崇高职责，将不辱使命，沿着正确的方向砥砺前行!</w:t>
      </w:r>
    </w:p>
    <w:p>
      <w:pPr>
        <w:spacing w:line="560" w:lineRule="exact"/>
        <w:ind w:firstLine="600"/>
        <w:jc w:val="both"/>
      </w:pPr>
      <w:r>
        <w:rPr>
          <w:rFonts w:ascii="黑体" w:hAnsi="黑体" w:eastAsia="黑体" w:cs="黑体"/>
          <w:b/>
          <w:color w:val="000000"/>
          <w:sz w:val="30"/>
        </w:rPr>
        <w:t>二、机构设置情况</w:t>
      </w:r>
    </w:p>
    <w:p>
      <w:pPr>
        <w:spacing w:line="560" w:lineRule="exact"/>
        <w:ind w:firstLine="600"/>
        <w:jc w:val="both"/>
      </w:pPr>
      <w:r>
        <w:rPr>
          <w:rFonts w:ascii="仿宋" w:hAnsi="仿宋" w:eastAsia="仿宋" w:cs="仿宋"/>
          <w:b w:val="0"/>
          <w:color w:val="000000"/>
          <w:sz w:val="30"/>
        </w:rPr>
        <w:t>天津市西青区中北镇中心幼儿园部门内设3个职能科室；下辖1个预算单位。</w:t>
      </w:r>
    </w:p>
    <w:p>
      <w:pPr>
        <w:spacing w:line="560" w:lineRule="exact"/>
        <w:ind w:firstLine="600"/>
        <w:jc w:val="both"/>
      </w:pPr>
      <w:r>
        <w:rPr>
          <w:rFonts w:ascii="仿宋" w:hAnsi="仿宋" w:eastAsia="仿宋" w:cs="仿宋"/>
          <w:b w:val="0"/>
          <w:color w:val="000000"/>
          <w:sz w:val="30"/>
        </w:rPr>
        <w:t>纳入天津市西青区中北镇中心幼儿园单位2025年部门预算编制范围的预算单位包括：</w:t>
      </w:r>
    </w:p>
    <w:p>
      <w:pPr>
        <w:spacing w:line="560" w:lineRule="exact"/>
        <w:ind w:firstLine="600"/>
        <w:jc w:val="both"/>
      </w:pPr>
      <w:r>
        <w:rPr>
          <w:rFonts w:ascii="仿宋" w:hAnsi="仿宋" w:eastAsia="仿宋" w:cs="仿宋"/>
          <w:b w:val="0"/>
          <w:color w:val="000000"/>
          <w:sz w:val="30"/>
        </w:rPr>
        <w:t>1.天津市西青区中北镇中心幼儿园</w:t>
      </w:r>
    </w:p>
    <w:p>
      <w:pPr>
        <w:pageBreakBefore/>
        <w:spacing w:line="560" w:lineRule="exact"/>
        <w:ind w:firstLine="0"/>
        <w:jc w:val="center"/>
      </w:pPr>
      <w:r>
        <w:rPr>
          <w:rFonts w:ascii="FZXiaoBiaoSong-B05S" w:hAnsi="FZXiaoBiaoSong-B05S" w:eastAsia="FZXiaoBiaoSong-B05S" w:cs="FZXiaoBiaoSong-B05S"/>
          <w:b/>
          <w:color w:val="000000"/>
          <w:sz w:val="48"/>
        </w:rPr>
        <w:t>第二部分  2025年度单位预算情况说明</w:t>
      </w:r>
    </w:p>
    <w:p>
      <w:pPr>
        <w:spacing w:line="560" w:lineRule="exact"/>
        <w:ind w:firstLine="600"/>
        <w:jc w:val="both"/>
      </w:pPr>
      <w:r>
        <w:rPr>
          <w:rFonts w:ascii="黑体" w:hAnsi="黑体" w:eastAsia="黑体" w:cs="黑体"/>
          <w:b/>
          <w:color w:val="000000"/>
          <w:sz w:val="30"/>
        </w:rPr>
        <w:t>一、关于收支总体情况表的说明</w:t>
      </w:r>
    </w:p>
    <w:p>
      <w:pPr>
        <w:spacing w:line="560" w:lineRule="exact"/>
        <w:ind w:firstLine="600"/>
        <w:jc w:val="both"/>
      </w:pPr>
      <w:r>
        <w:rPr>
          <w:rFonts w:ascii="仿宋" w:hAnsi="仿宋" w:eastAsia="仿宋" w:cs="仿宋"/>
          <w:b w:val="0"/>
          <w:color w:val="000000"/>
          <w:sz w:val="30"/>
        </w:rPr>
        <w:t>按照综合预算的原则，天津市西青区中北镇中心幼儿园单位所有收入和支出均纳入部门预算管理。收入包括：一般公共预算拨款收入506.65万元、政府性基金预算拨款收入0万元、国有资本经营预算拨款收入0万元、财政专户管理资金收入0万元、事业收入0万元、事业单位经营收入0万元、上级补助收入0万元、附属单位上缴收入0万元、其他收入0万元、上年结转结余0万元；支出包括：教育支出506.65万元。天津市西青区中北镇中心幼儿园单位2025年收支总预算506.65万元。</w:t>
      </w:r>
    </w:p>
    <w:p>
      <w:pPr>
        <w:spacing w:line="560" w:lineRule="exact"/>
        <w:ind w:firstLine="600"/>
        <w:jc w:val="both"/>
      </w:pPr>
      <w:r>
        <w:rPr>
          <w:rFonts w:ascii="黑体" w:hAnsi="黑体" w:eastAsia="黑体" w:cs="黑体"/>
          <w:b/>
          <w:color w:val="000000"/>
          <w:sz w:val="30"/>
        </w:rPr>
        <w:t>二、关于收入总体情况表的说明</w:t>
      </w:r>
    </w:p>
    <w:p>
      <w:pPr>
        <w:spacing w:line="560" w:lineRule="exact"/>
        <w:ind w:firstLine="600"/>
        <w:jc w:val="both"/>
      </w:pPr>
      <w:r>
        <w:rPr>
          <w:rFonts w:ascii="仿宋" w:hAnsi="仿宋" w:eastAsia="仿宋" w:cs="仿宋"/>
          <w:b w:val="0"/>
          <w:color w:val="000000"/>
          <w:sz w:val="30"/>
        </w:rPr>
        <w:t>天津市西青区中北镇中心幼儿园单位2025年部门预算收入506.65万元，与上年预算相比减少93.47万元，主要原因是人员工资结构和社保公积金基数变化其中：上年结转结余0万元，占0%；一般公共预算506.65万元，占100.00%；政府性基金预算0万元，占0%；国有资本经营预算0万元，占0%；财政专户管理资金0万元，占0%；事业收入0万元，占0%；事业单位经营收入0万元，占0%；上级补助收入0万元，占0%；附属单位上缴收入0万元，占0%；其他收入0万元，占0%。</w:t>
      </w:r>
    </w:p>
    <w:p>
      <w:pPr>
        <w:spacing w:line="560" w:lineRule="exact"/>
        <w:ind w:firstLine="600"/>
        <w:jc w:val="both"/>
      </w:pPr>
      <w:r>
        <w:rPr>
          <w:rFonts w:ascii="黑体" w:hAnsi="黑体" w:eastAsia="黑体" w:cs="黑体"/>
          <w:b/>
          <w:color w:val="000000"/>
          <w:sz w:val="30"/>
        </w:rPr>
        <w:t>三、关于支出总体情况表的说明</w:t>
      </w:r>
    </w:p>
    <w:p>
      <w:pPr>
        <w:spacing w:line="560" w:lineRule="exact"/>
        <w:ind w:firstLine="600"/>
        <w:jc w:val="both"/>
      </w:pPr>
      <w:r>
        <w:rPr>
          <w:rFonts w:ascii="仿宋" w:hAnsi="仿宋" w:eastAsia="仿宋" w:cs="仿宋"/>
          <w:b w:val="0"/>
          <w:color w:val="000000"/>
          <w:sz w:val="30"/>
        </w:rPr>
        <w:t>天津市西青区中北镇中心幼儿园单位2025年支出预算506.65万元，与上年预算相比减少93.47万元，主要原因是人员工资结构和社保公积金基数变化其中：基本支出506.65万元，占100.00%；项目支出0万元，占0%；事业单位经营支出0万元，占0%；上缴上级支出0万元，占0%；对附属单位补助支出0万元，占0%。</w:t>
      </w:r>
    </w:p>
    <w:p>
      <w:pPr>
        <w:spacing w:line="560" w:lineRule="exact"/>
        <w:ind w:firstLine="600"/>
        <w:jc w:val="both"/>
      </w:pPr>
      <w:r>
        <w:rPr>
          <w:rFonts w:ascii="黑体" w:hAnsi="黑体" w:eastAsia="黑体" w:cs="黑体"/>
          <w:b/>
          <w:color w:val="000000"/>
          <w:sz w:val="30"/>
        </w:rPr>
        <w:t>四、关于财政拨款收支总体情况表的说明</w:t>
      </w:r>
    </w:p>
    <w:p>
      <w:pPr>
        <w:spacing w:line="560" w:lineRule="exact"/>
        <w:ind w:firstLine="600"/>
        <w:jc w:val="both"/>
      </w:pPr>
      <w:r>
        <w:rPr>
          <w:rFonts w:ascii="仿宋" w:hAnsi="仿宋" w:eastAsia="仿宋" w:cs="仿宋"/>
          <w:b w:val="0"/>
          <w:color w:val="000000"/>
          <w:sz w:val="30"/>
        </w:rPr>
        <w:t>天津市西青区中北镇中心幼儿园单位2025年财政拨款收入预算506.65万元，与上年预算相比减少93.47万元，主要原因是人员工资结构和社保公积金基数变化收入包括：一般公共预算拨款收入506.65万元、政府性基金预算拨款收入0万元、上年财政结转结余0万元、国有资本经营预算拨款收入0万元、2025年财政拨款支出预算506.65万元，与上年预算相比减少93.47万元，主要原因是人员工资结构和社保公积金基数变化支出包括：教育支出506.65万元。</w:t>
      </w:r>
    </w:p>
    <w:p>
      <w:pPr>
        <w:spacing w:line="560" w:lineRule="exact"/>
        <w:ind w:firstLine="600"/>
        <w:jc w:val="both"/>
      </w:pPr>
      <w:r>
        <w:rPr>
          <w:rFonts w:ascii="黑体" w:hAnsi="黑体" w:eastAsia="黑体" w:cs="黑体"/>
          <w:b/>
          <w:color w:val="000000"/>
          <w:sz w:val="30"/>
        </w:rPr>
        <w:t>五、关于一般公共预算支出情况表的说明</w:t>
      </w:r>
    </w:p>
    <w:p>
      <w:pPr>
        <w:spacing w:line="560" w:lineRule="exact"/>
        <w:ind w:firstLine="600"/>
        <w:jc w:val="both"/>
      </w:pPr>
      <w:r>
        <w:rPr>
          <w:rFonts w:ascii="楷体" w:hAnsi="楷体" w:eastAsia="楷体" w:cs="楷体"/>
          <w:b/>
          <w:color w:val="000000"/>
          <w:sz w:val="30"/>
        </w:rPr>
        <w:t>（一）总体情况</w:t>
      </w:r>
    </w:p>
    <w:p>
      <w:pPr>
        <w:spacing w:line="560" w:lineRule="exact"/>
        <w:ind w:firstLine="600"/>
        <w:jc w:val="both"/>
      </w:pPr>
      <w:r>
        <w:rPr>
          <w:rFonts w:ascii="仿宋" w:hAnsi="仿宋" w:eastAsia="仿宋" w:cs="仿宋"/>
          <w:b w:val="0"/>
          <w:color w:val="000000"/>
          <w:sz w:val="30"/>
        </w:rPr>
        <w:t>天津市西青区中北镇中心幼儿园单位2025年一般公共预算支出506.65万元(上年600.12万元），与上年预算相比减少93.47万元，主要原因是人员工资结构和社保公积金基数变化</w:t>
      </w:r>
    </w:p>
    <w:p>
      <w:pPr>
        <w:spacing w:line="560" w:lineRule="exact"/>
        <w:ind w:firstLine="600"/>
        <w:jc w:val="both"/>
      </w:pPr>
      <w:r>
        <w:rPr>
          <w:rFonts w:ascii="楷体" w:hAnsi="楷体" w:eastAsia="楷体" w:cs="楷体"/>
          <w:b/>
          <w:color w:val="000000"/>
          <w:sz w:val="30"/>
        </w:rPr>
        <w:t>（二）具体情况</w:t>
      </w:r>
    </w:p>
    <w:p>
      <w:pPr>
        <w:spacing w:line="560" w:lineRule="exact"/>
        <w:ind w:firstLine="600"/>
        <w:jc w:val="both"/>
      </w:pPr>
      <w:r>
        <w:rPr>
          <w:rFonts w:ascii="仿宋" w:hAnsi="仿宋" w:eastAsia="仿宋" w:cs="仿宋"/>
          <w:b w:val="0"/>
          <w:color w:val="000000"/>
          <w:sz w:val="30"/>
        </w:rPr>
        <w:t>1、“教育支出（类）”506.65万元，与上年预算相比减少80.60万元，主要原因是人员工资结构和社保公积金基数变化其中：“普通教育（款）”506.65万元，包括：“学前教育（项）”506.65万元，主要用于人员经费和公用经费。</w:t>
      </w:r>
    </w:p>
    <w:p>
      <w:pPr>
        <w:spacing w:line="560" w:lineRule="exact"/>
        <w:ind w:firstLine="600"/>
        <w:jc w:val="both"/>
      </w:pPr>
      <w:r>
        <w:rPr>
          <w:rFonts w:ascii="黑体" w:hAnsi="黑体" w:eastAsia="黑体" w:cs="黑体"/>
          <w:b/>
          <w:color w:val="000000"/>
          <w:sz w:val="30"/>
        </w:rPr>
        <w:t>六、关于一般公共预算基本支出情况表的说明</w:t>
      </w:r>
    </w:p>
    <w:p>
      <w:pPr>
        <w:spacing w:line="560" w:lineRule="exact"/>
        <w:ind w:firstLine="600"/>
        <w:jc w:val="both"/>
      </w:pPr>
      <w:r>
        <w:rPr>
          <w:rFonts w:ascii="仿宋" w:hAnsi="仿宋" w:eastAsia="仿宋" w:cs="仿宋"/>
          <w:b w:val="0"/>
          <w:color w:val="000000"/>
          <w:sz w:val="30"/>
        </w:rPr>
        <w:t>天津市西青区中北镇中心幼儿园单位2025年一般公共预算基本支出 506.65万元，与上年预算相比减少93.47万元，主要原因是人员工资结构和社保公积金基数变化其中：人员经费 371.91万元，主要包括：基本工资、津贴补贴、绩效工资、机关事业单位基本养老保险缴费、职业年金缴费、职工基本医疗保险缴费、其他社会保障缴费、住房公积金、医疗费、其他工资福利支出、其他对个人和家庭的补助等；</w:t>
      </w:r>
    </w:p>
    <w:p>
      <w:pPr>
        <w:spacing w:line="560" w:lineRule="exact"/>
        <w:ind w:firstLine="600"/>
        <w:jc w:val="both"/>
      </w:pPr>
      <w:r>
        <w:rPr>
          <w:rFonts w:ascii="仿宋" w:hAnsi="仿宋" w:eastAsia="仿宋" w:cs="仿宋"/>
          <w:b w:val="0"/>
          <w:color w:val="000000"/>
          <w:sz w:val="30"/>
        </w:rPr>
        <w:t>公用经费134.74万元，主要包括：办公费、水费、电费、物业管理费、工会经费、福利费、其他商品和服务支出等。</w:t>
      </w:r>
    </w:p>
    <w:p>
      <w:pPr>
        <w:spacing w:line="560" w:lineRule="exact"/>
        <w:ind w:firstLine="600"/>
        <w:jc w:val="both"/>
      </w:pPr>
      <w:r>
        <w:rPr>
          <w:rFonts w:ascii="黑体" w:hAnsi="黑体" w:eastAsia="黑体" w:cs="黑体"/>
          <w:b/>
          <w:color w:val="000000"/>
          <w:sz w:val="30"/>
        </w:rPr>
        <w:t>七、关于一般公共预算“三公”经费支出情况表的说明</w:t>
      </w:r>
      <w:r>
        <w:rPr>
          <w:rFonts w:ascii="仿宋" w:hAnsi="仿宋" w:eastAsia="仿宋" w:cs="仿宋"/>
          <w:b w:val="0"/>
          <w:color w:val="000000"/>
          <w:sz w:val="30"/>
        </w:rPr>
        <w:t>2025年一般公共预算“三公”经费安排0万元，与2024年预算相比增加0.00万元，主要原因是本单位无“三公”经费。</w:t>
      </w:r>
    </w:p>
    <w:p>
      <w:pPr>
        <w:spacing w:line="560" w:lineRule="exact"/>
        <w:ind w:firstLine="600"/>
        <w:jc w:val="both"/>
      </w:pPr>
      <w:r>
        <w:rPr>
          <w:rFonts w:ascii="仿宋" w:hAnsi="仿宋" w:eastAsia="仿宋" w:cs="仿宋"/>
          <w:b w:val="0"/>
          <w:color w:val="000000"/>
          <w:sz w:val="30"/>
        </w:rPr>
        <w:t>具体情况：</w:t>
      </w:r>
    </w:p>
    <w:p>
      <w:pPr>
        <w:spacing w:line="560" w:lineRule="exact"/>
        <w:ind w:firstLine="600"/>
        <w:jc w:val="both"/>
      </w:pPr>
      <w:r>
        <w:rPr>
          <w:rFonts w:ascii="仿宋" w:hAnsi="仿宋" w:eastAsia="仿宋" w:cs="仿宋"/>
          <w:b w:val="0"/>
          <w:color w:val="000000"/>
          <w:sz w:val="30"/>
        </w:rPr>
        <w:t>(一)、2025年因公出国（境）费预算0万元，与2024年预算相比增加0.00万元，主要原因是本单位无此项预算。</w:t>
      </w:r>
    </w:p>
    <w:p>
      <w:pPr>
        <w:spacing w:line="560" w:lineRule="exact"/>
        <w:ind w:firstLine="600"/>
        <w:jc w:val="both"/>
      </w:pPr>
      <w:r>
        <w:rPr>
          <w:rFonts w:ascii="仿宋" w:hAnsi="仿宋" w:eastAsia="仿宋" w:cs="仿宋"/>
          <w:b w:val="0"/>
          <w:color w:val="000000"/>
          <w:sz w:val="30"/>
        </w:rPr>
        <w:t>(二)、2025年公务用车购置及运行费预算0万元，</w:t>
      </w:r>
    </w:p>
    <w:p>
      <w:pPr>
        <w:spacing w:line="560" w:lineRule="exact"/>
        <w:ind w:firstLine="600"/>
        <w:jc w:val="both"/>
      </w:pPr>
      <w:r>
        <w:rPr>
          <w:rFonts w:ascii="仿宋" w:hAnsi="仿宋" w:eastAsia="仿宋" w:cs="仿宋"/>
          <w:b w:val="0"/>
          <w:color w:val="000000"/>
          <w:sz w:val="30"/>
        </w:rPr>
        <w:t>其中公务用车运行费0万元，与2024年预算相比增加0万元，主要原因是本单位无此项预算；公务用车购置费0万元，与2024年预算相比增加0万元，主要原因是本单位无此项预算。</w:t>
      </w:r>
    </w:p>
    <w:p>
      <w:pPr>
        <w:spacing w:line="560" w:lineRule="exact"/>
        <w:ind w:firstLine="600"/>
        <w:jc w:val="both"/>
      </w:pPr>
      <w:r>
        <w:rPr>
          <w:rFonts w:ascii="仿宋" w:hAnsi="仿宋" w:eastAsia="仿宋" w:cs="仿宋"/>
          <w:b w:val="0"/>
          <w:color w:val="000000"/>
          <w:sz w:val="30"/>
        </w:rPr>
        <w:t>(三)、2025年公务接待费预算0万元，与2024年预算相比增加0万元，主要原因是本单位无此项预算。</w:t>
      </w:r>
    </w:p>
    <w:p>
      <w:pPr>
        <w:spacing w:line="560" w:lineRule="exact"/>
        <w:ind w:firstLine="600"/>
        <w:jc w:val="both"/>
      </w:pPr>
      <w:r>
        <w:rPr>
          <w:rFonts w:ascii="黑体" w:hAnsi="黑体" w:eastAsia="黑体" w:cs="黑体"/>
          <w:b/>
          <w:color w:val="000000"/>
          <w:sz w:val="30"/>
        </w:rPr>
        <w:t>八、关于政府性基金预算支出情况表的说明</w:t>
      </w:r>
    </w:p>
    <w:p>
      <w:pPr>
        <w:spacing w:line="560" w:lineRule="exact"/>
        <w:ind w:firstLine="600"/>
        <w:jc w:val="both"/>
      </w:pPr>
      <w:r>
        <w:rPr>
          <w:rFonts w:ascii="仿宋" w:hAnsi="仿宋" w:eastAsia="仿宋" w:cs="仿宋"/>
          <w:b w:val="0"/>
          <w:color w:val="000000"/>
          <w:sz w:val="30"/>
        </w:rPr>
        <w:t>2025年天津市西青区中北镇中心幼儿园单位预算中没有使用政府性基金预算安排的支出。</w:t>
      </w:r>
    </w:p>
    <w:p>
      <w:pPr>
        <w:spacing w:line="560" w:lineRule="exact"/>
        <w:ind w:firstLine="600"/>
        <w:jc w:val="both"/>
      </w:pPr>
      <w:r>
        <w:rPr>
          <w:rFonts w:ascii="黑体" w:hAnsi="黑体" w:eastAsia="黑体" w:cs="黑体"/>
          <w:b/>
          <w:color w:val="000000"/>
          <w:sz w:val="30"/>
        </w:rPr>
        <w:t>九、关于国有资本经营预算支出情况表的说明</w:t>
      </w:r>
    </w:p>
    <w:p>
      <w:pPr>
        <w:spacing w:line="560" w:lineRule="exact"/>
        <w:ind w:firstLine="600"/>
        <w:jc w:val="both"/>
      </w:pPr>
      <w:r>
        <w:rPr>
          <w:rFonts w:ascii="仿宋" w:hAnsi="仿宋" w:eastAsia="仿宋" w:cs="仿宋"/>
          <w:b w:val="0"/>
          <w:color w:val="000000"/>
          <w:sz w:val="30"/>
        </w:rPr>
        <w:t>2025年天津市西青区中北镇中心幼儿园单位预算中没有使用国有资本经营预算预算安排的支出。</w:t>
      </w:r>
    </w:p>
    <w:p>
      <w:pPr>
        <w:spacing w:line="560" w:lineRule="exact"/>
        <w:ind w:firstLine="600"/>
        <w:jc w:val="both"/>
      </w:pPr>
      <w:r>
        <w:rPr>
          <w:rFonts w:ascii="黑体" w:hAnsi="黑体" w:eastAsia="黑体" w:cs="黑体"/>
          <w:b/>
          <w:color w:val="000000"/>
          <w:sz w:val="30"/>
        </w:rPr>
        <w:t>十、其他重要事项的情况说明</w:t>
      </w:r>
    </w:p>
    <w:p>
      <w:pPr>
        <w:spacing w:line="560" w:lineRule="exact"/>
        <w:ind w:firstLine="600"/>
        <w:jc w:val="both"/>
      </w:pPr>
      <w:r>
        <w:rPr>
          <w:rFonts w:ascii="楷体" w:hAnsi="楷体" w:eastAsia="楷体" w:cs="楷体"/>
          <w:b/>
          <w:color w:val="000000"/>
          <w:sz w:val="30"/>
        </w:rPr>
        <w:t>（一）机关运行经费。</w:t>
      </w:r>
    </w:p>
    <w:p>
      <w:pPr>
        <w:spacing w:line="560" w:lineRule="exact"/>
        <w:ind w:firstLine="600"/>
        <w:jc w:val="both"/>
      </w:pPr>
      <w:r>
        <w:rPr>
          <w:rFonts w:ascii="仿宋" w:hAnsi="仿宋" w:eastAsia="仿宋" w:cs="仿宋"/>
          <w:b w:val="0"/>
          <w:color w:val="000000"/>
          <w:sz w:val="30"/>
        </w:rPr>
        <w:t>本部门2025年未安排机关运行经费预算。</w:t>
      </w:r>
    </w:p>
    <w:p>
      <w:pPr>
        <w:spacing w:line="560" w:lineRule="exact"/>
        <w:ind w:firstLine="600"/>
        <w:jc w:val="both"/>
      </w:pPr>
      <w:r>
        <w:rPr>
          <w:rFonts w:ascii="楷体" w:hAnsi="楷体" w:eastAsia="楷体" w:cs="楷体"/>
          <w:b/>
          <w:color w:val="000000"/>
          <w:sz w:val="30"/>
        </w:rPr>
        <w:t>（二）政府采购情况</w:t>
      </w:r>
      <w:r>
        <w:rPr>
          <w:rFonts w:ascii="仿宋" w:hAnsi="仿宋" w:eastAsia="仿宋" w:cs="仿宋"/>
          <w:b w:val="0"/>
          <w:color w:val="000000"/>
          <w:sz w:val="30"/>
        </w:rPr>
        <w:t>本部门2025年安排政府采购预算45.15万元，其中：政府采购货物支出1.454万元、政府采购工程支出0万元、政府采购服务支出40.696万元。主要项目是：办公费、物业管理费、教师餐费</w:t>
      </w:r>
    </w:p>
    <w:p>
      <w:pPr>
        <w:spacing w:line="560" w:lineRule="exact"/>
        <w:ind w:firstLine="600"/>
        <w:jc w:val="both"/>
      </w:pPr>
      <w:r>
        <w:rPr>
          <w:rFonts w:ascii="楷体" w:hAnsi="楷体" w:eastAsia="楷体" w:cs="楷体"/>
          <w:b/>
          <w:color w:val="000000"/>
          <w:sz w:val="30"/>
        </w:rPr>
        <w:t>（三）国有资产占用情况</w:t>
      </w:r>
    </w:p>
    <w:p>
      <w:pPr>
        <w:spacing w:line="560" w:lineRule="exact"/>
        <w:ind w:firstLine="600"/>
        <w:jc w:val="both"/>
      </w:pPr>
      <w:r>
        <w:rPr>
          <w:rFonts w:ascii="仿宋" w:hAnsi="仿宋" w:eastAsia="仿宋" w:cs="仿宋"/>
          <w:b w:val="0"/>
          <w:color w:val="000000"/>
          <w:sz w:val="30"/>
        </w:rPr>
        <w:t>截至2024年12月底，本部门各单位共有车辆0辆、其中：副部（省）级及以上领导用车0辆、主要负责人干部用车0辆、机要通信用车0辆、应急保障用车0辆、执法执勤用车0辆、特种专业技术用车0辆、离退休干部用车0辆、其他用车0辆，其他用车主要包括0。单价（账面原值）100万以上的设备0台（套）。</w:t>
      </w:r>
    </w:p>
    <w:p>
      <w:pPr>
        <w:spacing w:line="560" w:lineRule="exact"/>
        <w:ind w:firstLine="600"/>
        <w:jc w:val="both"/>
      </w:pPr>
      <w:r>
        <w:rPr>
          <w:rFonts w:ascii="楷体" w:hAnsi="楷体" w:eastAsia="楷体" w:cs="楷体"/>
          <w:b/>
          <w:color w:val="000000"/>
          <w:sz w:val="30"/>
        </w:rPr>
        <w:t>（四）预算绩效情况说明。</w:t>
      </w:r>
    </w:p>
    <w:p>
      <w:pPr>
        <w:spacing w:line="560" w:lineRule="exact"/>
        <w:ind w:firstLine="600"/>
        <w:jc w:val="both"/>
      </w:pPr>
      <w:r>
        <w:rPr>
          <w:rFonts w:ascii="仿宋" w:hAnsi="仿宋" w:eastAsia="仿宋" w:cs="仿宋"/>
          <w:b w:val="0"/>
          <w:color w:val="000000"/>
          <w:sz w:val="30"/>
        </w:rPr>
        <w:t>天津市西青区中北镇中心幼儿园单位2025年实行绩效目标管理的项目0个，涉及预算金额0万元。</w:t>
      </w:r>
    </w:p>
    <w:p>
      <w:pPr>
        <w:pageBreakBefore/>
        <w:spacing w:line="560" w:lineRule="exact"/>
        <w:ind w:firstLine="0"/>
        <w:jc w:val="center"/>
      </w:pPr>
      <w:r>
        <w:rPr>
          <w:rFonts w:ascii="黑体" w:hAnsi="黑体" w:eastAsia="黑体" w:cs="黑体"/>
          <w:b/>
          <w:color w:val="000000"/>
          <w:sz w:val="32"/>
        </w:rPr>
        <w:t>第三部分  名词解释</w:t>
      </w:r>
    </w:p>
    <w:p>
      <w:pPr>
        <w:spacing w:line="560" w:lineRule="exact"/>
        <w:ind w:firstLine="560"/>
        <w:jc w:val="both"/>
      </w:pPr>
      <w:r>
        <w:rPr>
          <w:rFonts w:ascii="仿宋" w:hAnsi="仿宋" w:eastAsia="仿宋" w:cs="仿宋"/>
          <w:b/>
          <w:color w:val="000000"/>
          <w:sz w:val="28"/>
        </w:rPr>
        <w:t>一、部门预算:</w:t>
      </w:r>
      <w:r>
        <w:rPr>
          <w:rFonts w:ascii="仿宋" w:hAnsi="仿宋" w:eastAsia="仿宋" w:cs="仿宋"/>
          <w:b w:val="0"/>
          <w:color w:val="000000"/>
          <w:sz w:val="28"/>
        </w:rPr>
        <w:t>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560"/>
        <w:jc w:val="both"/>
      </w:pPr>
      <w:r>
        <w:rPr>
          <w:rFonts w:ascii="仿宋" w:hAnsi="仿宋" w:eastAsia="仿宋" w:cs="仿宋"/>
          <w:b/>
          <w:color w:val="000000"/>
          <w:sz w:val="28"/>
        </w:rPr>
        <w:t>二、基本支出：</w:t>
      </w:r>
      <w:r>
        <w:rPr>
          <w:rFonts w:ascii="仿宋" w:hAnsi="仿宋" w:eastAsia="仿宋" w:cs="仿宋"/>
          <w:b w:val="0"/>
          <w:color w:val="000000"/>
          <w:sz w:val="28"/>
        </w:rPr>
        <w:t>指为保障机构正常运转、完成日常工作任务而发生的人员支出和公用支出。</w:t>
      </w:r>
    </w:p>
    <w:p>
      <w:pPr>
        <w:spacing w:line="560" w:lineRule="exact"/>
        <w:ind w:firstLine="560"/>
        <w:jc w:val="both"/>
      </w:pPr>
      <w:r>
        <w:rPr>
          <w:rFonts w:ascii="仿宋" w:hAnsi="仿宋" w:eastAsia="仿宋" w:cs="仿宋"/>
          <w:b/>
          <w:color w:val="000000"/>
          <w:sz w:val="28"/>
        </w:rPr>
        <w:t>三、项目支出:</w:t>
      </w:r>
      <w:r>
        <w:rPr>
          <w:rFonts w:ascii="仿宋" w:hAnsi="仿宋" w:eastAsia="仿宋" w:cs="仿宋"/>
          <w:b w:val="0"/>
          <w:color w:val="000000"/>
          <w:sz w:val="28"/>
        </w:rPr>
        <w:t>指在基本支出之外为完成特定行政任务和事业发展目标所发生的支出。</w:t>
      </w:r>
    </w:p>
    <w:p>
      <w:pPr>
        <w:spacing w:line="560" w:lineRule="exact"/>
        <w:ind w:firstLine="560"/>
        <w:jc w:val="both"/>
      </w:pPr>
      <w:r>
        <w:rPr>
          <w:rFonts w:ascii="仿宋" w:hAnsi="仿宋" w:eastAsia="仿宋" w:cs="仿宋"/>
          <w:b/>
          <w:color w:val="000000"/>
          <w:sz w:val="28"/>
        </w:rPr>
        <w:t>四、机关运行经费：</w:t>
      </w:r>
      <w:r>
        <w:rPr>
          <w:rFonts w:ascii="仿宋" w:hAnsi="仿宋" w:eastAsia="仿宋" w:cs="仿宋"/>
          <w:b w:val="0"/>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ageBreakBefore/>
        <w:spacing w:line="2000" w:lineRule="exact"/>
        <w:ind w:firstLine="0"/>
        <w:jc w:val="center"/>
      </w:pPr>
      <w:r>
        <w:rPr>
          <w:rFonts w:ascii="FZXiaoBiaoSong-B05S" w:hAnsi="FZXiaoBiaoSong-B05S" w:eastAsia="FZXiaoBiaoSong-B05S" w:cs="FZXiaoBiaoSong-B05S"/>
          <w:b/>
          <w:color w:val="000000"/>
          <w:sz w:val="48"/>
        </w:rPr>
        <w:t>第四部分   2025年单位预算表</w:t>
      </w:r>
    </w:p>
    <w:p>
      <w:pPr>
        <w:spacing w:line="560" w:lineRule="exact"/>
        <w:ind w:firstLine="0"/>
        <w:jc w:val="both"/>
      </w:pPr>
      <w:r>
        <w:rPr>
          <w:rFonts w:ascii="楷体" w:hAnsi="楷体" w:eastAsia="楷体" w:cs="楷体"/>
          <w:b/>
          <w:color w:val="000000"/>
          <w:sz w:val="30"/>
        </w:rPr>
        <w:t>一、《部门收支总体情况表》</w:t>
      </w:r>
    </w:p>
    <w:p>
      <w:pPr>
        <w:spacing w:line="560" w:lineRule="exact"/>
        <w:ind w:firstLine="0"/>
        <w:jc w:val="both"/>
      </w:pPr>
      <w:r>
        <w:rPr>
          <w:rFonts w:ascii="楷体" w:hAnsi="楷体" w:eastAsia="楷体" w:cs="楷体"/>
          <w:b/>
          <w:color w:val="000000"/>
          <w:sz w:val="30"/>
        </w:rPr>
        <w:t>二、《部门收入总体情况表》</w:t>
      </w:r>
    </w:p>
    <w:p>
      <w:pPr>
        <w:spacing w:line="560" w:lineRule="exact"/>
        <w:ind w:firstLine="0"/>
        <w:jc w:val="both"/>
      </w:pPr>
      <w:r>
        <w:rPr>
          <w:rFonts w:ascii="楷体" w:hAnsi="楷体" w:eastAsia="楷体" w:cs="楷体"/>
          <w:b/>
          <w:color w:val="000000"/>
          <w:sz w:val="30"/>
        </w:rPr>
        <w:t>三、《部门支出总体情况表》</w:t>
      </w:r>
    </w:p>
    <w:p>
      <w:pPr>
        <w:spacing w:line="560" w:lineRule="exact"/>
        <w:ind w:firstLine="0"/>
        <w:jc w:val="both"/>
      </w:pPr>
      <w:r>
        <w:rPr>
          <w:rFonts w:ascii="楷体" w:hAnsi="楷体" w:eastAsia="楷体" w:cs="楷体"/>
          <w:b/>
          <w:color w:val="000000"/>
          <w:sz w:val="30"/>
        </w:rPr>
        <w:t>四、《财政拨款收支总体情况表》</w:t>
      </w:r>
    </w:p>
    <w:p>
      <w:pPr>
        <w:spacing w:line="560" w:lineRule="exact"/>
        <w:ind w:firstLine="0"/>
        <w:jc w:val="both"/>
      </w:pPr>
      <w:r>
        <w:rPr>
          <w:rFonts w:ascii="楷体" w:hAnsi="楷体" w:eastAsia="楷体" w:cs="楷体"/>
          <w:b/>
          <w:color w:val="000000"/>
          <w:sz w:val="30"/>
        </w:rPr>
        <w:t>五、《一般公共预算支出情况表》</w:t>
      </w:r>
    </w:p>
    <w:p>
      <w:pPr>
        <w:spacing w:line="560" w:lineRule="exact"/>
        <w:ind w:firstLine="0"/>
        <w:jc w:val="both"/>
      </w:pPr>
      <w:r>
        <w:rPr>
          <w:rFonts w:ascii="楷体" w:hAnsi="楷体" w:eastAsia="楷体" w:cs="楷体"/>
          <w:b/>
          <w:color w:val="000000"/>
          <w:sz w:val="30"/>
        </w:rPr>
        <w:t>六、《一般公共预算基本支出情况表》</w:t>
      </w:r>
    </w:p>
    <w:p>
      <w:pPr>
        <w:spacing w:line="560" w:lineRule="exact"/>
        <w:ind w:firstLine="0"/>
        <w:jc w:val="both"/>
      </w:pPr>
      <w:r>
        <w:rPr>
          <w:rFonts w:ascii="楷体" w:hAnsi="楷体" w:eastAsia="楷体" w:cs="楷体"/>
          <w:b/>
          <w:color w:val="000000"/>
          <w:sz w:val="30"/>
        </w:rPr>
        <w:t>七、《一般公共预算“三公”经费支出情况表》</w:t>
      </w:r>
    </w:p>
    <w:p>
      <w:pPr>
        <w:spacing w:line="560" w:lineRule="exact"/>
        <w:ind w:firstLine="0"/>
        <w:jc w:val="both"/>
      </w:pPr>
      <w:r>
        <w:rPr>
          <w:rFonts w:ascii="楷体" w:hAnsi="楷体" w:eastAsia="楷体" w:cs="楷体"/>
          <w:b/>
          <w:color w:val="000000"/>
          <w:sz w:val="30"/>
        </w:rPr>
        <w:t>八、《政府性基金预算支出情况表》</w:t>
      </w:r>
    </w:p>
    <w:p>
      <w:pPr>
        <w:spacing w:line="560" w:lineRule="exact"/>
        <w:ind w:firstLine="0"/>
        <w:jc w:val="both"/>
      </w:pPr>
      <w:r>
        <w:rPr>
          <w:rFonts w:ascii="楷体" w:hAnsi="楷体" w:eastAsia="楷体" w:cs="楷体"/>
          <w:b/>
          <w:color w:val="000000"/>
          <w:sz w:val="30"/>
        </w:rPr>
        <w:t>九、《国有资本经营预算支出情况表》</w:t>
      </w:r>
    </w:p>
    <w:p>
      <w:pPr>
        <w:spacing w:line="560" w:lineRule="exact"/>
        <w:ind w:firstLine="0"/>
        <w:jc w:val="both"/>
      </w:pPr>
      <w:r>
        <w:rPr>
          <w:rFonts w:ascii="楷体" w:hAnsi="楷体" w:eastAsia="楷体" w:cs="楷体"/>
          <w:b/>
          <w:color w:val="000000"/>
          <w:sz w:val="30"/>
        </w:rPr>
        <w:t>十、《项目支出表》</w:t>
      </w:r>
    </w:p>
    <w:p>
      <w:pPr>
        <w:spacing w:line="560" w:lineRule="exact"/>
        <w:ind w:firstLine="0"/>
        <w:jc w:val="both"/>
      </w:pPr>
      <w:r>
        <w:rPr>
          <w:rFonts w:ascii="楷体" w:hAnsi="楷体" w:eastAsia="楷体" w:cs="楷体"/>
          <w:b/>
          <w:color w:val="000000"/>
          <w:sz w:val="30"/>
        </w:rPr>
        <w:t>十一、关于空表说明</w:t>
      </w:r>
    </w:p>
    <w:p>
      <w:pPr>
        <w:pageBreakBefore/>
        <w:spacing w:line="560" w:lineRule="exact"/>
        <w:ind w:firstLine="0"/>
        <w:jc w:val="both"/>
      </w:pPr>
      <w:r>
        <w:rPr>
          <w:rFonts w:ascii="仿宋" w:hAnsi="仿宋" w:eastAsia="仿宋" w:cs="仿宋"/>
          <w:b/>
          <w:color w:val="000000"/>
          <w:sz w:val="30"/>
        </w:rPr>
        <w:t>十一、关于空表的说明</w:t>
      </w:r>
    </w:p>
    <w:p>
      <w:pPr>
        <w:spacing w:line="560" w:lineRule="exact"/>
        <w:ind w:firstLine="600"/>
        <w:jc w:val="both"/>
      </w:pPr>
      <w:r>
        <w:rPr>
          <w:rFonts w:ascii="仿宋" w:hAnsi="仿宋" w:eastAsia="仿宋" w:cs="仿宋"/>
          <w:b w:val="0"/>
          <w:color w:val="000000"/>
          <w:sz w:val="30"/>
        </w:rPr>
        <w:t>本单位2025年一般公共预算“三公”经费支出情况表为空表</w:t>
      </w:r>
    </w:p>
    <w:p>
      <w:pPr>
        <w:spacing w:line="560" w:lineRule="exact"/>
        <w:ind w:firstLine="600"/>
        <w:jc w:val="both"/>
      </w:pPr>
      <w:r>
        <w:rPr>
          <w:rFonts w:ascii="仿宋" w:hAnsi="仿宋" w:eastAsia="仿宋" w:cs="仿宋"/>
          <w:b w:val="0"/>
          <w:color w:val="000000"/>
          <w:sz w:val="30"/>
        </w:rPr>
        <w:t>本单位2025年政府性基金预算支出情况表为空表</w:t>
      </w:r>
    </w:p>
    <w:p>
      <w:pPr>
        <w:spacing w:line="560" w:lineRule="exact"/>
        <w:ind w:firstLine="600"/>
        <w:jc w:val="both"/>
      </w:pPr>
      <w:r>
        <w:rPr>
          <w:rFonts w:ascii="仿宋" w:hAnsi="仿宋" w:eastAsia="仿宋" w:cs="仿宋"/>
          <w:b w:val="0"/>
          <w:color w:val="000000"/>
          <w:sz w:val="30"/>
        </w:rPr>
        <w:t>本单位2025年国有资本经营预算支出情况表为空表</w:t>
      </w:r>
    </w:p>
    <w:p>
      <w:pPr>
        <w:spacing w:line="560" w:lineRule="exact"/>
        <w:ind w:firstLine="600"/>
        <w:jc w:val="both"/>
      </w:pPr>
      <w:r>
        <w:rPr>
          <w:rFonts w:ascii="仿宋" w:hAnsi="仿宋" w:eastAsia="仿宋" w:cs="仿宋"/>
          <w:b w:val="0"/>
          <w:color w:val="000000"/>
          <w:sz w:val="30"/>
        </w:rPr>
        <w:t>本单位2025年项目支出表为空表</w:t>
      </w: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XiaoBiaoSong-B05S">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BD28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3218</Words>
  <Characters>3495</Characters>
  <TotalTime>0</TotalTime>
  <ScaleCrop>false</ScaleCrop>
  <LinksUpToDate>false</LinksUpToDate>
  <CharactersWithSpaces>3517</CharactersWithSpaces>
  <Application>WPS Office_11.1.0.13703_F1E327BC-269C-435d-A152-05C5408002CA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2025-03-12T00:56:00Z</dcterms:created>
  <dc:creator>Apache POI</dc:creator>
  <cp:lastModifiedBy>Administrator</cp:lastModifiedBy>
  <dcterms:modified xsi:type="dcterms:W3CDTF">2025-03-12T00:42:52Z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A1A1E8B06C484836AF31504B947ACF32</vt:lpwstr>
  </property>
</Properties>
</file>